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D" w:rsidRPr="00A37EA7" w:rsidRDefault="00A37EA7" w:rsidP="00A37EA7">
      <w:pPr>
        <w:spacing w:after="0" w:line="240" w:lineRule="auto"/>
        <w:ind w:left="120"/>
        <w:jc w:val="center"/>
        <w:rPr>
          <w:lang w:val="ru-RU"/>
        </w:rPr>
      </w:pPr>
      <w:bookmarkStart w:id="0" w:name="block-15219648"/>
      <w:r w:rsidRPr="00A37E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66ED" w:rsidRPr="00A37EA7" w:rsidRDefault="00A37EA7" w:rsidP="00A37EA7">
      <w:pPr>
        <w:spacing w:after="0" w:line="240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A37EA7">
        <w:rPr>
          <w:rFonts w:ascii="Times New Roman" w:hAnsi="Times New Roman"/>
          <w:b/>
          <w:color w:val="000000"/>
          <w:sz w:val="28"/>
          <w:lang w:val="ru-RU"/>
        </w:rPr>
        <w:t>Управление по образованию и науке администрации муниципального образования городской округ город</w:t>
      </w:r>
      <w:r w:rsidR="005C16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16F3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 курорт Сочи Краснодарского края</w:t>
      </w:r>
      <w:bookmarkEnd w:id="1"/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66ED" w:rsidRPr="00A37EA7" w:rsidRDefault="00A37EA7" w:rsidP="00A37EA7">
      <w:pPr>
        <w:spacing w:after="0" w:line="240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средняя общеобразовательная школа № 29 города Сочи имени Героя Советского Союза Нагуляна </w:t>
      </w:r>
      <w:proofErr w:type="spellStart"/>
      <w:r w:rsidRPr="00A37EA7">
        <w:rPr>
          <w:rFonts w:ascii="Times New Roman" w:hAnsi="Times New Roman"/>
          <w:b/>
          <w:color w:val="000000"/>
          <w:sz w:val="28"/>
          <w:lang w:val="ru-RU"/>
        </w:rPr>
        <w:t>Мартироса</w:t>
      </w:r>
      <w:proofErr w:type="spellEnd"/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A37EA7">
        <w:rPr>
          <w:rFonts w:ascii="Times New Roman" w:hAnsi="Times New Roman"/>
          <w:b/>
          <w:color w:val="000000"/>
          <w:sz w:val="28"/>
          <w:lang w:val="ru-RU"/>
        </w:rPr>
        <w:t>Карапетовича</w:t>
      </w:r>
      <w:bookmarkEnd w:id="2"/>
      <w:proofErr w:type="spellEnd"/>
      <w:r w:rsidRPr="00A37E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7EA7">
        <w:rPr>
          <w:rFonts w:ascii="Times New Roman" w:hAnsi="Times New Roman"/>
          <w:color w:val="000000"/>
          <w:sz w:val="28"/>
          <w:lang w:val="ru-RU"/>
        </w:rPr>
        <w:t>​</w:t>
      </w:r>
    </w:p>
    <w:p w:rsidR="000066ED" w:rsidRDefault="00A37EA7" w:rsidP="00A37EA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0066ED" w:rsidRDefault="000066ED">
      <w:pPr>
        <w:spacing w:after="0"/>
        <w:ind w:left="120"/>
      </w:pPr>
    </w:p>
    <w:p w:rsidR="000066ED" w:rsidRDefault="000066ED">
      <w:pPr>
        <w:spacing w:after="0"/>
        <w:ind w:left="120"/>
      </w:pPr>
    </w:p>
    <w:p w:rsidR="000066ED" w:rsidRDefault="000066ED">
      <w:pPr>
        <w:spacing w:after="0"/>
        <w:ind w:left="120"/>
      </w:pPr>
    </w:p>
    <w:p w:rsidR="000066ED" w:rsidRDefault="000066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2239"/>
        <w:gridCol w:w="3991"/>
      </w:tblGrid>
      <w:tr w:rsidR="00B16F3C" w:rsidRPr="005C1627" w:rsidTr="00B16F3C">
        <w:tc>
          <w:tcPr>
            <w:tcW w:w="3114" w:type="dxa"/>
          </w:tcPr>
          <w:p w:rsidR="00B16F3C" w:rsidRPr="0040209D" w:rsidRDefault="00B16F3C" w:rsidP="00B16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B16F3C" w:rsidRPr="0040209D" w:rsidRDefault="00B16F3C" w:rsidP="00B16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</w:tcPr>
          <w:p w:rsidR="00B16F3C" w:rsidRPr="00B16F3C" w:rsidRDefault="00A37EA7" w:rsidP="00B16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6F3C" w:rsidRPr="00B16F3C" w:rsidRDefault="00A37EA7" w:rsidP="00B16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решением педагоги</w:t>
            </w:r>
            <w:r w:rsidR="00B16F3C"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  от 31.08.</w:t>
            </w:r>
            <w:r w:rsidR="005C162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B16F3C"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23 №</w:t>
            </w:r>
            <w:r w:rsidR="005C162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  <w:r w:rsidR="00B16F3C"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Председатель педсовета </w:t>
            </w: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B16F3C"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МОБУ СОШ № 29 им</w:t>
            </w:r>
            <w:proofErr w:type="gramStart"/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ероя Советского Союза Нагуляна М.К.</w:t>
            </w:r>
          </w:p>
          <w:p w:rsidR="00B16F3C" w:rsidRPr="00B16F3C" w:rsidRDefault="00A37EA7" w:rsidP="00B16F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B16F3C" w:rsidRPr="00B16F3C" w:rsidRDefault="00A37EA7" w:rsidP="00B16F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</w:t>
            </w:r>
            <w:proofErr w:type="spellStart"/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Цахик</w:t>
            </w:r>
            <w:proofErr w:type="spellEnd"/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Андреевна</w:t>
            </w:r>
          </w:p>
          <w:p w:rsidR="00B16F3C" w:rsidRPr="00B16F3C" w:rsidRDefault="00A37EA7" w:rsidP="00B16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 </w:t>
            </w:r>
            <w:r w:rsid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 </w:t>
            </w:r>
            <w:r w:rsidRPr="00B16F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«31» августа   2023 г.</w:t>
            </w:r>
          </w:p>
          <w:p w:rsidR="00B16F3C" w:rsidRPr="0040209D" w:rsidRDefault="00B16F3C" w:rsidP="00B16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66ED" w:rsidRPr="00A37EA7" w:rsidRDefault="000066ED">
      <w:pPr>
        <w:spacing w:after="0"/>
        <w:ind w:left="120"/>
        <w:rPr>
          <w:lang w:val="ru-RU"/>
        </w:rPr>
      </w:pPr>
    </w:p>
    <w:p w:rsidR="000066ED" w:rsidRPr="00A37EA7" w:rsidRDefault="00A37EA7">
      <w:pPr>
        <w:spacing w:after="0"/>
        <w:ind w:left="120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‌</w:t>
      </w:r>
    </w:p>
    <w:p w:rsidR="000066ED" w:rsidRPr="00A37EA7" w:rsidRDefault="000066ED">
      <w:pPr>
        <w:spacing w:after="0"/>
        <w:ind w:left="120"/>
        <w:rPr>
          <w:lang w:val="ru-RU"/>
        </w:rPr>
      </w:pPr>
    </w:p>
    <w:p w:rsidR="000066ED" w:rsidRPr="00A37EA7" w:rsidRDefault="000066ED">
      <w:pPr>
        <w:spacing w:after="0"/>
        <w:ind w:left="120"/>
        <w:rPr>
          <w:lang w:val="ru-RU"/>
        </w:rPr>
      </w:pPr>
    </w:p>
    <w:p w:rsidR="000066ED" w:rsidRPr="00A37EA7" w:rsidRDefault="00A37EA7">
      <w:pPr>
        <w:spacing w:after="0" w:line="408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66ED" w:rsidRPr="00A37EA7" w:rsidRDefault="00A37EA7">
      <w:pPr>
        <w:spacing w:after="0" w:line="408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2059415)</w:t>
      </w:r>
    </w:p>
    <w:p w:rsidR="000066ED" w:rsidRPr="00A37EA7" w:rsidRDefault="000066ED">
      <w:pPr>
        <w:spacing w:after="0"/>
        <w:ind w:left="120"/>
        <w:jc w:val="center"/>
        <w:rPr>
          <w:lang w:val="ru-RU"/>
        </w:rPr>
      </w:pPr>
    </w:p>
    <w:p w:rsidR="000066ED" w:rsidRPr="00A37EA7" w:rsidRDefault="00A37EA7">
      <w:pPr>
        <w:spacing w:after="0" w:line="408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066ED" w:rsidRPr="00A37EA7" w:rsidRDefault="00A37EA7">
      <w:pPr>
        <w:spacing w:after="0" w:line="408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37EA7">
        <w:rPr>
          <w:rFonts w:ascii="Calibri" w:hAnsi="Calibri"/>
          <w:color w:val="000000"/>
          <w:sz w:val="28"/>
          <w:lang w:val="ru-RU"/>
        </w:rPr>
        <w:t xml:space="preserve">– 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066ED" w:rsidRPr="00A37EA7" w:rsidRDefault="000066ED">
      <w:pPr>
        <w:spacing w:after="0"/>
        <w:ind w:left="120"/>
        <w:jc w:val="center"/>
        <w:rPr>
          <w:lang w:val="ru-RU"/>
        </w:rPr>
      </w:pPr>
    </w:p>
    <w:p w:rsidR="000066ED" w:rsidRPr="00A37EA7" w:rsidRDefault="000066ED">
      <w:pPr>
        <w:spacing w:after="0"/>
        <w:ind w:left="120"/>
        <w:jc w:val="center"/>
        <w:rPr>
          <w:lang w:val="ru-RU"/>
        </w:rPr>
      </w:pPr>
    </w:p>
    <w:p w:rsidR="00B16F3C" w:rsidRDefault="00B16F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ea1153b0-1c57-4e3e-bd72-9418d6c953dd"/>
    </w:p>
    <w:p w:rsidR="00B16F3C" w:rsidRDefault="00B16F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66ED" w:rsidRPr="00A37EA7" w:rsidRDefault="00A37EA7">
      <w:pPr>
        <w:spacing w:after="0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A37EA7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A37EA7">
        <w:rPr>
          <w:rFonts w:ascii="Times New Roman" w:hAnsi="Times New Roman"/>
          <w:b/>
          <w:color w:val="000000"/>
          <w:sz w:val="28"/>
          <w:lang w:val="ru-RU"/>
        </w:rPr>
        <w:t>очи</w:t>
      </w:r>
      <w:bookmarkEnd w:id="3"/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A37E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37E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7EA7">
        <w:rPr>
          <w:rFonts w:ascii="Times New Roman" w:hAnsi="Times New Roman"/>
          <w:color w:val="000000"/>
          <w:sz w:val="28"/>
          <w:lang w:val="ru-RU"/>
        </w:rPr>
        <w:t>​</w:t>
      </w:r>
    </w:p>
    <w:p w:rsidR="00392C59" w:rsidRDefault="00392C59" w:rsidP="00A37EA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219649"/>
      <w:bookmarkEnd w:id="0"/>
    </w:p>
    <w:p w:rsidR="000066ED" w:rsidRPr="00A37EA7" w:rsidRDefault="00A37EA7" w:rsidP="00A37EA7">
      <w:pPr>
        <w:spacing w:after="0" w:line="264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66ED" w:rsidRPr="00A37EA7" w:rsidRDefault="00A37EA7" w:rsidP="00A37EA7">
      <w:pPr>
        <w:spacing w:after="0" w:line="264" w:lineRule="auto"/>
        <w:ind w:left="120"/>
        <w:jc w:val="center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​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000000"/>
          <w:sz w:val="28"/>
          <w:lang w:val="ru-RU"/>
        </w:rPr>
        <w:t>–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Calibri" w:hAnsi="Calibri"/>
          <w:color w:val="333333"/>
          <w:sz w:val="28"/>
          <w:lang w:val="ru-RU"/>
        </w:rPr>
        <w:t>–</w:t>
      </w:r>
      <w:r w:rsidRPr="00A37EA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37EA7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A37EA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A37E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66ED" w:rsidRPr="00A37EA7" w:rsidRDefault="00A37EA7">
      <w:pPr>
        <w:spacing w:after="0" w:line="264" w:lineRule="auto"/>
        <w:ind w:left="12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​</w:t>
      </w:r>
    </w:p>
    <w:p w:rsidR="000066ED" w:rsidRPr="00A37EA7" w:rsidRDefault="00A37EA7">
      <w:pPr>
        <w:spacing w:after="0" w:line="264" w:lineRule="auto"/>
        <w:ind w:left="12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‌</w:t>
      </w:r>
    </w:p>
    <w:p w:rsidR="000066ED" w:rsidRPr="00A37EA7" w:rsidRDefault="000066ED">
      <w:pPr>
        <w:rPr>
          <w:lang w:val="ru-RU"/>
        </w:rPr>
        <w:sectPr w:rsidR="000066ED" w:rsidRPr="00A37EA7">
          <w:pgSz w:w="11906" w:h="16383"/>
          <w:pgMar w:top="1134" w:right="850" w:bottom="1134" w:left="1701" w:header="720" w:footer="720" w:gutter="0"/>
          <w:cols w:space="720"/>
        </w:sectPr>
      </w:pPr>
    </w:p>
    <w:p w:rsidR="000066ED" w:rsidRPr="00A37EA7" w:rsidRDefault="00A37EA7" w:rsidP="00A37EA7">
      <w:pPr>
        <w:spacing w:after="0" w:line="264" w:lineRule="auto"/>
        <w:ind w:left="120"/>
        <w:jc w:val="center"/>
        <w:rPr>
          <w:lang w:val="ru-RU"/>
        </w:rPr>
      </w:pPr>
      <w:bookmarkStart w:id="7" w:name="block-15219650"/>
      <w:bookmarkEnd w:id="5"/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066ED" w:rsidRPr="00A37EA7" w:rsidRDefault="00A37EA7">
      <w:pPr>
        <w:spacing w:after="0" w:line="264" w:lineRule="auto"/>
        <w:ind w:left="12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​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>).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37EA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37EA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37EA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37EA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7EA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7EA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37EA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7EA7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066ED" w:rsidRPr="00A37EA7" w:rsidRDefault="000066ED">
      <w:pPr>
        <w:rPr>
          <w:lang w:val="ru-RU"/>
        </w:rPr>
        <w:sectPr w:rsidR="000066ED" w:rsidRPr="00A37EA7">
          <w:pgSz w:w="11906" w:h="16383"/>
          <w:pgMar w:top="1134" w:right="850" w:bottom="1134" w:left="1701" w:header="720" w:footer="720" w:gutter="0"/>
          <w:cols w:space="720"/>
        </w:sectPr>
      </w:pPr>
    </w:p>
    <w:p w:rsidR="000066ED" w:rsidRPr="00A37EA7" w:rsidRDefault="00A37EA7" w:rsidP="00392C59">
      <w:pPr>
        <w:spacing w:after="0" w:line="264" w:lineRule="auto"/>
        <w:ind w:left="120"/>
        <w:jc w:val="center"/>
        <w:rPr>
          <w:lang w:val="ru-RU"/>
        </w:rPr>
      </w:pPr>
      <w:bookmarkStart w:id="8" w:name="block-15219652"/>
      <w:bookmarkEnd w:id="7"/>
      <w:r w:rsidRPr="00A37E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066ED" w:rsidRPr="00A37EA7" w:rsidRDefault="000066ED" w:rsidP="00B16F3C">
      <w:pPr>
        <w:spacing w:after="0" w:line="264" w:lineRule="auto"/>
        <w:ind w:left="120"/>
        <w:jc w:val="center"/>
        <w:rPr>
          <w:lang w:val="ru-RU"/>
        </w:rPr>
      </w:pP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37EA7">
        <w:rPr>
          <w:rFonts w:ascii="Times New Roman" w:hAnsi="Times New Roman"/>
          <w:color w:val="000000"/>
          <w:sz w:val="28"/>
          <w:lang w:val="ru-RU"/>
        </w:rPr>
        <w:t>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37EA7">
        <w:rPr>
          <w:rFonts w:ascii="Times New Roman" w:hAnsi="Times New Roman"/>
          <w:color w:val="000000"/>
          <w:sz w:val="28"/>
          <w:lang w:val="ru-RU"/>
        </w:rPr>
        <w:t>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A37EA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37EA7">
        <w:rPr>
          <w:rFonts w:ascii="Times New Roman" w:hAnsi="Times New Roman"/>
          <w:color w:val="000000"/>
          <w:sz w:val="28"/>
          <w:lang w:val="ru-RU"/>
        </w:rPr>
        <w:t>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066ED" w:rsidRPr="00A37EA7" w:rsidRDefault="00A37EA7" w:rsidP="00B16F3C">
      <w:pPr>
        <w:spacing w:after="0" w:line="264" w:lineRule="auto"/>
        <w:ind w:firstLine="600"/>
        <w:jc w:val="center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7EA7">
        <w:rPr>
          <w:rFonts w:ascii="Times New Roman" w:hAnsi="Times New Roman"/>
          <w:color w:val="000000"/>
          <w:sz w:val="28"/>
          <w:lang w:val="ru-RU"/>
        </w:rPr>
        <w:t>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37EA7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причинно­следственных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0066ED" w:rsidRPr="00A37EA7" w:rsidRDefault="00A37E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066ED" w:rsidRPr="00A37EA7" w:rsidRDefault="00A37EA7">
      <w:pPr>
        <w:spacing w:after="0" w:line="264" w:lineRule="auto"/>
        <w:ind w:firstLine="600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37EA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37EA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7EA7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37EA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A37EA7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A37EA7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066ED" w:rsidRPr="00A37EA7" w:rsidRDefault="00A37E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EA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066ED" w:rsidRPr="00A37EA7" w:rsidRDefault="000066ED">
      <w:pPr>
        <w:rPr>
          <w:lang w:val="ru-RU"/>
        </w:rPr>
        <w:sectPr w:rsidR="000066ED" w:rsidRPr="00A37EA7">
          <w:pgSz w:w="11906" w:h="16383"/>
          <w:pgMar w:top="1134" w:right="850" w:bottom="1134" w:left="1701" w:header="720" w:footer="720" w:gutter="0"/>
          <w:cols w:space="720"/>
        </w:sectPr>
      </w:pPr>
    </w:p>
    <w:p w:rsidR="000066ED" w:rsidRDefault="00A37EA7">
      <w:pPr>
        <w:spacing w:after="0"/>
        <w:ind w:left="120"/>
      </w:pPr>
      <w:bookmarkStart w:id="12" w:name="block-15219647"/>
      <w:bookmarkEnd w:id="8"/>
      <w:r w:rsidRPr="00A37E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66ED" w:rsidRDefault="00A37E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0066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</w:tbl>
    <w:p w:rsidR="000066ED" w:rsidRDefault="000066ED">
      <w:pPr>
        <w:sectPr w:rsidR="00006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ED" w:rsidRDefault="00A37E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066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E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066ED" w:rsidRPr="005C162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  <w:tr w:rsidR="000066ED" w:rsidRPr="005C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7E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</w:tbl>
    <w:p w:rsidR="000066ED" w:rsidRDefault="000066ED">
      <w:pPr>
        <w:sectPr w:rsidR="00006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ED" w:rsidRDefault="00A37EA7" w:rsidP="00A37EA7">
      <w:pPr>
        <w:spacing w:after="0"/>
        <w:ind w:left="120"/>
        <w:jc w:val="center"/>
      </w:pPr>
      <w:bookmarkStart w:id="13" w:name="block-1521965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066ED" w:rsidRDefault="00A37E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8 </w:t>
      </w:r>
      <w:r w:rsidR="00B16F3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289"/>
        <w:gridCol w:w="1841"/>
        <w:gridCol w:w="1910"/>
        <w:gridCol w:w="1347"/>
        <w:gridCol w:w="1761"/>
      </w:tblGrid>
      <w:tr w:rsidR="000066ED">
        <w:trPr>
          <w:trHeight w:val="144"/>
          <w:tblCellSpacing w:w="20" w:type="nil"/>
        </w:trPr>
        <w:tc>
          <w:tcPr>
            <w:tcW w:w="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A37E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066ED" w:rsidRDefault="000066ED" w:rsidP="00A37EA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A37EA7" w:rsidP="00B16F3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B16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066ED" w:rsidRDefault="000066ED" w:rsidP="00B16F3C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B16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фактическая</w:t>
            </w:r>
            <w:proofErr w:type="spellEnd"/>
          </w:p>
          <w:p w:rsidR="000066ED" w:rsidRDefault="000066ED" w:rsidP="00B16F3C">
            <w:pPr>
              <w:spacing w:after="0"/>
              <w:ind w:left="135"/>
              <w:jc w:val="center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 w:rsidP="00B16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66ED" w:rsidRDefault="000066ED" w:rsidP="00B16F3C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 w:rsidP="00B16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066ED" w:rsidRDefault="000066ED" w:rsidP="00B16F3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между классами 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неорганических соединений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</w:tbl>
    <w:p w:rsidR="000066ED" w:rsidRDefault="000066ED">
      <w:pPr>
        <w:sectPr w:rsidR="00006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ED" w:rsidRDefault="00A37E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9 </w:t>
      </w:r>
      <w:r w:rsidR="00B675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4" w:name="_GoBack"/>
      <w:bookmarkEnd w:id="14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15"/>
        <w:gridCol w:w="1841"/>
        <w:gridCol w:w="1910"/>
        <w:gridCol w:w="1347"/>
        <w:gridCol w:w="1761"/>
      </w:tblGrid>
      <w:tr w:rsidR="000066ED">
        <w:trPr>
          <w:trHeight w:val="144"/>
          <w:tblCellSpacing w:w="20" w:type="nil"/>
        </w:trPr>
        <w:tc>
          <w:tcPr>
            <w:tcW w:w="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A37E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6ED" w:rsidRDefault="00A37EA7" w:rsidP="00A37EA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A37E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066ED" w:rsidRDefault="000066ED" w:rsidP="00A37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6ED" w:rsidRDefault="00A37EA7" w:rsidP="00A37E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фактическая</w:t>
            </w:r>
            <w:proofErr w:type="spellEnd"/>
          </w:p>
          <w:p w:rsidR="000066ED" w:rsidRDefault="000066ED" w:rsidP="00A37EA7">
            <w:pPr>
              <w:spacing w:after="0"/>
              <w:ind w:left="135"/>
              <w:jc w:val="center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6ED" w:rsidRDefault="00006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6ED" w:rsidRDefault="000066ED"/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</w:t>
            </w: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металлы и их соединения»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66ED" w:rsidRDefault="000066ED">
            <w:pPr>
              <w:spacing w:after="0"/>
              <w:ind w:left="135"/>
            </w:pPr>
          </w:p>
        </w:tc>
      </w:tr>
      <w:tr w:rsidR="00006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Pr="00A37EA7" w:rsidRDefault="00A37EA7">
            <w:pPr>
              <w:spacing w:after="0"/>
              <w:ind w:left="135"/>
              <w:rPr>
                <w:lang w:val="ru-RU"/>
              </w:rPr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 w:rsidRPr="00A37E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66ED" w:rsidRDefault="00A37E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6ED" w:rsidRDefault="000066ED"/>
        </w:tc>
      </w:tr>
    </w:tbl>
    <w:p w:rsidR="000066ED" w:rsidRDefault="000066ED">
      <w:pPr>
        <w:sectPr w:rsidR="00006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ED" w:rsidRDefault="000066ED">
      <w:pPr>
        <w:sectPr w:rsidR="00006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6ED" w:rsidRDefault="00A37EA7">
      <w:pPr>
        <w:spacing w:after="0"/>
        <w:ind w:left="120"/>
      </w:pPr>
      <w:bookmarkStart w:id="15" w:name="block-152196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66ED" w:rsidRDefault="00A37E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66ED" w:rsidRPr="00884011" w:rsidRDefault="00A37EA7" w:rsidP="00884011">
      <w:pPr>
        <w:spacing w:after="0" w:line="480" w:lineRule="auto"/>
        <w:ind w:left="120"/>
        <w:rPr>
          <w:lang w:val="ru-RU"/>
        </w:rPr>
      </w:pPr>
      <w:proofErr w:type="gramStart"/>
      <w:r w:rsidRPr="00884011">
        <w:rPr>
          <w:rFonts w:ascii="Times New Roman" w:hAnsi="Times New Roman"/>
          <w:color w:val="000000"/>
          <w:sz w:val="28"/>
          <w:lang w:val="ru-RU"/>
        </w:rPr>
        <w:t>​‌‌​</w:t>
      </w:r>
      <w:r w:rsidR="00884011" w:rsidRPr="00884011">
        <w:rPr>
          <w:rFonts w:ascii="Times New Roman" w:hAnsi="Times New Roman"/>
          <w:color w:val="000000"/>
          <w:sz w:val="24"/>
          <w:szCs w:val="24"/>
          <w:lang w:val="ru-RU"/>
        </w:rPr>
        <w:t>Химия, учебник О.С.Габриелян – 9 класс;</w:t>
      </w:r>
      <w:r w:rsidR="008840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Издательство «Дрофа», Химия, 8 класс, О.С.Габриелян, Издательство «Дрофа»;</w:t>
      </w:r>
      <w:proofErr w:type="gramEnd"/>
    </w:p>
    <w:p w:rsidR="000066ED" w:rsidRDefault="00A37E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  <w:r w:rsidR="008840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84011" w:rsidRPr="00884011" w:rsidRDefault="00884011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 xml:space="preserve">Дидактические материалы. 8-9 классы А.А.Каверина, Р.Г. Иванова, А.С. </w:t>
      </w:r>
      <w:proofErr w:type="spellStart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>Корощенко</w:t>
      </w:r>
      <w:proofErr w:type="spellEnd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84011" w:rsidRPr="00884011" w:rsidRDefault="00884011">
      <w:pPr>
        <w:spacing w:after="0" w:line="480" w:lineRule="auto"/>
        <w:ind w:left="120"/>
        <w:rPr>
          <w:sz w:val="24"/>
          <w:szCs w:val="24"/>
          <w:lang w:val="ru-RU"/>
        </w:rPr>
      </w:pPr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 xml:space="preserve">«Химия. 8-9 классы. Тематические и итоговые контрольные работы». </w:t>
      </w:r>
      <w:proofErr w:type="gramStart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>Дидактические</w:t>
      </w:r>
      <w:proofErr w:type="gramEnd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 ФГОС; А.А. Каверина, А.С. </w:t>
      </w:r>
      <w:proofErr w:type="spellStart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>Корощенко</w:t>
      </w:r>
      <w:proofErr w:type="spellEnd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84011">
        <w:rPr>
          <w:rFonts w:ascii="Times New Roman" w:hAnsi="Times New Roman"/>
          <w:color w:val="000000"/>
          <w:sz w:val="24"/>
          <w:szCs w:val="24"/>
          <w:lang w:val="ru-RU"/>
        </w:rPr>
        <w:t>А.В.Яшукова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066ED" w:rsidRPr="00884011" w:rsidRDefault="00A37EA7">
      <w:pPr>
        <w:spacing w:after="0" w:line="480" w:lineRule="auto"/>
        <w:ind w:left="120"/>
        <w:rPr>
          <w:sz w:val="24"/>
          <w:szCs w:val="24"/>
          <w:lang w:val="ru-RU"/>
        </w:rPr>
      </w:pPr>
      <w:r w:rsidRPr="00884011">
        <w:rPr>
          <w:rFonts w:ascii="Times New Roman" w:hAnsi="Times New Roman"/>
          <w:color w:val="000000"/>
          <w:sz w:val="28"/>
          <w:lang w:val="ru-RU"/>
        </w:rPr>
        <w:t>​‌‌​</w:t>
      </w:r>
      <w:r w:rsidRPr="00A37E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8840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hyperlink r:id="rId26"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https</w:t>
        </w:r>
        <w:r w:rsidR="00884011" w:rsidRPr="00884011">
          <w:rPr>
            <w:rFonts w:ascii="Times New Roman" w:hAnsi="Times New Roman"/>
            <w:sz w:val="24"/>
            <w:szCs w:val="24"/>
            <w:u w:val="single"/>
            <w:lang w:val="ru-RU"/>
          </w:rPr>
          <w:t>://</w:t>
        </w:r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m</w:t>
        </w:r>
        <w:r w:rsidR="00884011" w:rsidRPr="00884011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edsoo</w:t>
        </w:r>
        <w:proofErr w:type="spellEnd"/>
        <w:r w:rsidR="00884011" w:rsidRPr="00884011">
          <w:rPr>
            <w:rFonts w:ascii="Times New Roman" w:hAnsi="Times New Roman"/>
            <w:sz w:val="24"/>
            <w:szCs w:val="24"/>
            <w:u w:val="single"/>
            <w:lang w:val="ru-RU"/>
          </w:rPr>
          <w:t>.</w:t>
        </w:r>
        <w:proofErr w:type="spellStart"/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  <w:r w:rsidR="00884011" w:rsidRPr="00884011">
          <w:rPr>
            <w:rFonts w:ascii="Times New Roman" w:hAnsi="Times New Roman"/>
            <w:sz w:val="24"/>
            <w:szCs w:val="24"/>
            <w:u w:val="single"/>
            <w:lang w:val="ru-RU"/>
          </w:rPr>
          <w:t>/7</w:t>
        </w:r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f</w:t>
        </w:r>
        <w:r w:rsidR="00884011" w:rsidRPr="00884011">
          <w:rPr>
            <w:rFonts w:ascii="Times New Roman" w:hAnsi="Times New Roman"/>
            <w:sz w:val="24"/>
            <w:szCs w:val="24"/>
            <w:u w:val="single"/>
            <w:lang w:val="ru-RU"/>
          </w:rPr>
          <w:t>41837</w:t>
        </w:r>
        <w:r w:rsidR="00884011" w:rsidRPr="00884011">
          <w:rPr>
            <w:rFonts w:ascii="Times New Roman" w:hAnsi="Times New Roman"/>
            <w:sz w:val="24"/>
            <w:szCs w:val="24"/>
            <w:u w:val="single"/>
          </w:rPr>
          <w:t>c</w:t>
        </w:r>
      </w:hyperlink>
    </w:p>
    <w:p w:rsidR="000066ED" w:rsidRDefault="00A37E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66ED" w:rsidRDefault="000066ED">
      <w:pPr>
        <w:sectPr w:rsidR="000066E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E7F87" w:rsidRDefault="004E7F87"/>
    <w:sectPr w:rsidR="004E7F87" w:rsidSect="004E7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A07"/>
    <w:multiLevelType w:val="multilevel"/>
    <w:tmpl w:val="C6D0C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71082"/>
    <w:multiLevelType w:val="multilevel"/>
    <w:tmpl w:val="0E504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ED"/>
    <w:rsid w:val="000066ED"/>
    <w:rsid w:val="00392C59"/>
    <w:rsid w:val="004E7F87"/>
    <w:rsid w:val="005C1627"/>
    <w:rsid w:val="00884011"/>
    <w:rsid w:val="00A37EA7"/>
    <w:rsid w:val="00B16F3C"/>
    <w:rsid w:val="00B67530"/>
    <w:rsid w:val="00B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7F8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E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83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cp:lastPrinted>2023-09-13T04:29:00Z</cp:lastPrinted>
  <dcterms:created xsi:type="dcterms:W3CDTF">2023-09-14T12:23:00Z</dcterms:created>
  <dcterms:modified xsi:type="dcterms:W3CDTF">2023-09-16T03:10:00Z</dcterms:modified>
</cp:coreProperties>
</file>